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Росреестра от 06.08.2020 N П/0280</w:t>
              <w:br/>
              <w:t xml:space="preserve">"Об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разъяснений"</w:t>
              <w:br/>
              <w:t xml:space="preserve">(Зарегистрировано в Минюсте России 28.09.2020 N 60050)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сентября 2020 г. N 60050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0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августа 2020 г. N П/0280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РАССМОТРЕНИЯ ОБРАЩЕНИЙ О ПРЕДОСТАВЛЕНИИ РАЗЪЯСНЕНИЙ,</w:t>
      </w:r>
    </w:p>
    <w:p>
      <w:pPr>
        <w:pStyle w:val="2"/>
        <w:jc w:val="center"/>
      </w:pPr>
      <w:r>
        <w:rPr>
          <w:sz w:val="20"/>
        </w:rPr>
        <w:t xml:space="preserve">СВЯЗАННЫХ С ОПРЕДЕЛЕНИЕМ КАДАСТРОВОЙ СТОИМОСТИ, В ТОМ ЧИСЛЕ</w:t>
      </w:r>
    </w:p>
    <w:p>
      <w:pPr>
        <w:pStyle w:val="2"/>
        <w:jc w:val="center"/>
      </w:pPr>
      <w:r>
        <w:rPr>
          <w:sz w:val="20"/>
        </w:rPr>
        <w:t xml:space="preserve">ФОРМЫ ПРЕДОСТАВЛЕНИЯ ТАКИХ РАЗЪЯСНЕНИЙ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частью 2 статьи 20</w:t>
        </w:r>
      </w:hyperlink>
      <w:r>
        <w:rPr>
          <w:sz w:val="20"/>
        </w:rP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31 июля 2020 г., 0001202007310085), </w:t>
      </w:r>
      <w:hyperlink w:history="0" r:id="rId8" w:tooltip="Постановление Правительства РФ от 01.06.2009 N 457 (ред. от 30.06.2022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(с изм. и доп., вступ. в силу с 01.01.2023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9" w:tooltip="Постановление Правительства РФ от 01.06.2009 N 457 (ред. от 30.06.2022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(с изм. и доп., вступ. в силу с 01.01.2023) {КонсультантПлюс}">
        <w:r>
          <w:rPr>
            <w:sz w:val="20"/>
            <w:color w:val="0000ff"/>
          </w:rPr>
          <w:t xml:space="preserve">подпунктом 5.26(7) пункта 5</w:t>
        </w:r>
      </w:hyperlink>
      <w:r>
        <w:rPr>
          <w:sz w:val="20"/>
        </w:rP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рассмотрения обращений о предоставлении разъяснений, связанных с определением кадастровой стоимости </w:t>
      </w:r>
      <w:hyperlink w:history="0" w:anchor="P32" w:tooltip="ПОРЯДОК">
        <w:r>
          <w:rPr>
            <w:sz w:val="20"/>
            <w:color w:val="0000ff"/>
          </w:rPr>
          <w:t xml:space="preserve">(приложение N 1)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форму предоставления разъяснений, связанных с определением кадастровой стоимости </w:t>
      </w:r>
      <w:hyperlink w:history="0" w:anchor="P59" w:tooltip="ФОРМА ПРЕДОСТАВЛЕНИЯ РАЗЪЯСНЕНИЙ,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даты вступления в силу </w:t>
      </w:r>
      <w:hyperlink w:history="0" r:id="rId10" w:tooltip="Приказ Минэкономразвития России от 25.08.2020 N 554 &quot;О признании утратившими силу некоторых приказов Минэкономразвития России в сфере государственной кадастровой оценки&quot; (Зарегистрировано в Минюсте России 02.10.2020 N 6020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Минэкономразвития России о признании утратившим силу </w:t>
      </w:r>
      <w:hyperlink w:history="0" r:id="rId11" w:tooltip="Приказ Минэкономразвития России от 30.06.2017 N 317 &quot;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&quot; (Зарегистрировано в Минюсте России 22.09.2017 N 48280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Минэкономразвития России от 30 июня 2017 г. N 317 "Об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разъяснений" (зарегистрирован в Минюсте России 22 сентября 2017 г., регистрационный N 48280), но не ранее 1 января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О.А.СКУФИНСКИЙ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Росреестра</w:t>
      </w:r>
    </w:p>
    <w:p>
      <w:pPr>
        <w:pStyle w:val="0"/>
        <w:jc w:val="right"/>
      </w:pPr>
      <w:r>
        <w:rPr>
          <w:sz w:val="20"/>
        </w:rPr>
        <w:t xml:space="preserve">от 6 августа 2020 г. N П/0280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РАССМОТРЕНИЯ ОБРАЩЕНИЙ О ПРЕДОСТАВЛЕНИИ РАЗЪЯСНЕНИЙ,</w:t>
      </w:r>
    </w:p>
    <w:p>
      <w:pPr>
        <w:pStyle w:val="2"/>
        <w:jc w:val="center"/>
      </w:pPr>
      <w:r>
        <w:rPr>
          <w:sz w:val="20"/>
        </w:rPr>
        <w:t xml:space="preserve">СВЯЗАННЫХ С ОПРЕДЕЛЕНИЕМ КАДАСТРОВОЙ СТОИМОСТИ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рассмотрения обращений о предоставлении разъяснений, связанных с определением кадастровой стоимости объекта недвижимости (далее - обращение о предоставлении разъяснений),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Разъяснения, связанные с определением кадастровой стоимости (далее - разъяснения), предоставляются бюджетным учреждением в отношении кадастровой стоимости объекта недвижимости, указанной в акте об утверждении результатов определения кадастровой стоимости, принятом в соответствии со </w:t>
      </w:r>
      <w:hyperlink w:history="0" r:id="rId12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31 июля 2020 г., 0001202007310085; далее - Закон о государственной кадастровой оценке), либо в акте об определении кадастровой стоимости, составленном в соответствии со </w:t>
      </w:r>
      <w:hyperlink w:history="0" r:id="rId13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Закона о государственной кадастровой оценке, на основании обращения о предоставлении разъяснений.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случае если указанная в обращении о предоставлении разъяснений кадастровая стоимость не определялась бюджетным учреждением или в обращении о предоставлении разъяснений не указана кадастровая стоимость объекта недвижимости, разъяснения предоставляются в отношении последней определенной бюджетным учреждением кадастровой стоимости объекта недвижимости, указанного в обращении о предоставлении разъяснений.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Днем поступления обращения о предоставлении разъяснений считается день его регистрации бюджетным учреждением.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личного обращения лица, указанного в </w:t>
      </w:r>
      <w:hyperlink w:history="0" r:id="rId14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части 4 статьи 20</w:t>
        </w:r>
      </w:hyperlink>
      <w:r>
        <w:rPr>
          <w:sz w:val="20"/>
        </w:rPr>
        <w:t xml:space="preserve"> Закона о государственной кадастровой оценке (далее - заявитель), или его представителя обращение о предоставлении разъяснений регистрируется незамедлительно в его присутствии. Дата регистрации обращения о предоставлении разъяснений указывается на штампе бюджетного учреждения, который проставляется на копии такого обращения, выдаваемой бюджетным учреждением.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направления обращения о предоставлении разъяснений посредством почтового отправления, а также в электронной форме с использованием информационно-телекоммуникационных сетей общего пользования, в том числе сети "Интернет", обращение о предоставлении разъяснений регистрируется бюджетным учреждением в день его фактического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фактического получения обращения о предоставлении разъяснений бюджетным учреждением в выходной или нерабочий праздничный день его регистрация производится не позднее первого рабочего дня, следующего за выходным или нерабочим праздничным днем.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Бюджетное учреждение проверяет поступившее обращение о предоставлении разъяснений на соответствие положениям </w:t>
      </w:r>
      <w:hyperlink w:history="0" r:id="rId15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частей 4</w:t>
        </w:r>
      </w:hyperlink>
      <w:r>
        <w:rPr>
          <w:sz w:val="20"/>
        </w:rPr>
        <w:t xml:space="preserve"> и </w:t>
      </w:r>
      <w:hyperlink w:history="0" r:id="rId16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5 статьи 20</w:t>
        </w:r>
      </w:hyperlink>
      <w:r>
        <w:rPr>
          <w:sz w:val="20"/>
        </w:rPr>
        <w:t xml:space="preserve"> Закона о государственной кадастровой оценке.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несоответствия поступившего обращения о предоставлении разъяснений указанным положениям бюджетное учреждение не рассматривает такое обращение и направляет заявителю уведомление с мотивированным отказом за подписью руководителя или иного уполномоченного лица бюджетного учреждения (далее - уведомление с мотивированным отказом) в течение десяти дней со дня поступления обращения о предоставлении разъяснений.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Разъяснения предоставляются без взимания 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Бюджетное учреждение готовит и оформляет разъяснения по форме согласно </w:t>
      </w:r>
      <w:hyperlink w:history="0" w:anchor="P59" w:tooltip="ФОРМА ПРЕДОСТАВЛЕНИЯ РАЗЪЯСНЕНИЙ,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приказу, за исключением случаев, предусмотренных </w:t>
      </w:r>
      <w:hyperlink w:history="0" w:anchor="P44" w:tooltip="В случае выявления несоответствия поступившего обращения о предоставлении разъяснений указанным положениям бюджетное учреждение не рассматривает такое обращение и направляет заявителю уведомление с мотивированным отказом за подписью руководителя или иного уполномоченного лица бюджетного учреждения (далее - уведомление с мотивированным отказом) в течение десяти дней со дня поступления обращения о предоставлении разъяснений.">
        <w:r>
          <w:rPr>
            <w:sz w:val="20"/>
            <w:color w:val="0000ff"/>
          </w:rPr>
          <w:t xml:space="preserve">абзацем вторым пункта 7</w:t>
        </w:r>
      </w:hyperlink>
      <w:r>
        <w:rPr>
          <w:sz w:val="20"/>
        </w:rPr>
        <w:t xml:space="preserve"> настоящего Порядка. Разъяснения подписываются руководителем или иным уполномоченным лицом бюджетного учреждения.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если способ получения информации о рассмотрении обращения о предоставлении разъяснений не указан в таком обращении, то уведомление с мотивированным отказом или разъяснения направляются заявителю по адресам, содержащимся в обращении о предоставлении разъяснений.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предоставлении документов непосредственно заявителю бюджетное учреждение в день подписания разъяснений или уведомления с мотивированным отказом сообщает заявителю о готовности документов к выдаче по телефону или адресу электронной почты в случае, если данные о них указаны в обращении о предоставлении разъяснений.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соответствии с </w:t>
      </w:r>
      <w:hyperlink w:history="0" r:id="rId17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частью 7 статьи 20</w:t>
        </w:r>
      </w:hyperlink>
      <w:r>
        <w:rPr>
          <w:sz w:val="20"/>
        </w:rPr>
        <w:t xml:space="preserve"> Закона о государственной кадастровой оценке в случае, если по итогам рассмотрения обращения о предоставлении разъяснений бюджетным учреждением принимается решение о необходимости пересчета кадастровой стоимости в связи с наличием ошибок, допущенных при определении кадастровой стоимости, бюджетное учреждение информирует заявителя о принятом решении в порядке, предусмотренном </w:t>
      </w:r>
      <w:hyperlink w:history="0" r:id="rId18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Закона о государственной кадастровой оценке.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Росреестра</w:t>
      </w:r>
    </w:p>
    <w:p>
      <w:pPr>
        <w:pStyle w:val="0"/>
        <w:jc w:val="right"/>
      </w:pPr>
      <w:r>
        <w:rPr>
          <w:sz w:val="20"/>
        </w:rPr>
        <w:t xml:space="preserve">от 6 августа 2020 г. N П/0280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jc w:val="center"/>
      </w:pPr>
      <w:r>
        <w:rPr>
          <w:sz w:val="20"/>
        </w:rPr>
        <w:t xml:space="preserve">ФОРМА ПРЕДОСТАВЛЕНИЯ РАЗЪЯСНЕНИЙ,</w:t>
      </w:r>
    </w:p>
    <w:p>
      <w:pPr>
        <w:pStyle w:val="0"/>
        <w:jc w:val="center"/>
      </w:pPr>
      <w:r>
        <w:rPr>
          <w:sz w:val="20"/>
        </w:rPr>
        <w:t xml:space="preserve">СВЯЗАННЫХ С ОПРЕДЕЛЕНИЕМ КАДАСТРОВОЙ СТОИМОСТИ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4989"/>
      </w:tblGrid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89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8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(почтовые адреса, адреса электронной почты (последнее - при наличии) заявителя, представителя заявителя)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Разъяснения,</w:t>
      </w:r>
    </w:p>
    <w:p>
      <w:pPr>
        <w:pStyle w:val="0"/>
        <w:jc w:val="center"/>
      </w:pPr>
      <w:r>
        <w:rPr>
          <w:sz w:val="20"/>
        </w:rPr>
        <w:t xml:space="preserve">связанные с определением кадастровой стоимости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4989"/>
      </w:tblGrid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 ____________</w:t>
            </w:r>
          </w:p>
        </w:tc>
        <w:tc>
          <w:tcPr>
            <w:tcW w:w="498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 _______ </w:t>
            </w:r>
            <w:hyperlink w:history="0" w:anchor="P206" w:tooltip="&lt;1&gt; Номер разъяснений, связанных с определением кадастровой стоимости, в формате РЗ-СС/ГГГГ/НННННН, где СС - две цифры, соответствующие номеру субъекта Российской Федерации, ГГГГ - четыре цифры, соответствующие году подачи заявления, НННННН - шесть цифр, соответствующих порядковому номеру соответствующих разъяснений в текущем календарном году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 результатам рассмотрения указанного в настоящих разъяснениях обращения о предоставлении разъяснений, связанных с определением кадастровой стоимости (далее - обращение), сообщается следующее: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1. Общие сведения: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4656"/>
        <w:gridCol w:w="3798"/>
      </w:tblGrid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6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Значение, описание</w:t>
            </w:r>
          </w:p>
        </w:tc>
      </w:tr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465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Кадастровый номер объекта недвижимости, в отношении которого подано обращение (далее - объект недвижимости)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465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Адрес объекта недвижимости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465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 (последнее - при наличии) заявителя - физического лица; наименование заявителя -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465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 (последнее - при наличии) представителя заявителя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465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Кадастровая стоимость объекта недвижимости, указанная в обращении </w:t>
            </w:r>
            <w:hyperlink w:history="0" w:anchor="P207" w:tooltip="&lt;2&gt; Указывается кадастровая стоимость объекта недвижимости, в отношении которой в бюджетное учреждение подано обращение о предоставлении разъяснений, связанных с определением кадастровой стоимости. Если в обращении кадастровая стоимость не указана, ставится прочерк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465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Дата поступления обращения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2. Сведения об определении кадастровой стоимости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 </w:t>
      </w:r>
      <w:hyperlink w:history="0" w:anchor="P208" w:tooltip="&lt;3&gt; Напротив одного из соответствующих вариантов в специально отведенной графе проставляется знак &quot;V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473"/>
        <w:gridCol w:w="557"/>
      </w:tblGrid>
      <w:tr>
        <w:tc>
          <w:tcPr>
            <w:tcW w:w="8473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кадастровая стоимость объекта недвижимости определялась бюджетным учреждением;</w:t>
            </w:r>
          </w:p>
        </w:tc>
        <w:tc>
          <w:tcPr>
            <w:tcW w:w="55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847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кадастровая стоимость объекта недвижимости бюджетным учреждением не определялась, в связи с чем бюджетное учреждение не располагает информацией об определении кадастровой стоимости объекта недвижимости.</w:t>
            </w:r>
          </w:p>
        </w:tc>
        <w:tc>
          <w:tcPr>
            <w:tcW w:w="55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3. Сведения об определении кадастровой стоимости объекта недвижимости, указанной в обращении, бюджетным учреждением </w:t>
      </w:r>
      <w:hyperlink w:history="0" w:anchor="P208" w:tooltip="&lt;3&gt; Напротив одного из соответствующих вариантов в специально отведенной графе проставляется знак &quot;V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473"/>
        <w:gridCol w:w="557"/>
      </w:tblGrid>
      <w:tr>
        <w:tc>
          <w:tcPr>
            <w:tcW w:w="847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1) кадастровая стоимость в обращении не указана, в связи с чем разъяснения предоставляются в отношении последней определенной бюджетным учреждением кадастровой стоимости объекта недвижимости;</w:t>
            </w:r>
          </w:p>
        </w:tc>
        <w:tc>
          <w:tcPr>
            <w:tcW w:w="55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847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2) кадастровая стоимость объекта недвижимости, указанная в обращении, определена бюджетным учреждением, в связи с чем разъяснения предоставляются в отношении такой кадастровой стоимости;</w:t>
            </w:r>
          </w:p>
        </w:tc>
        <w:tc>
          <w:tcPr>
            <w:tcW w:w="55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847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3) кадастровая стоимость объекта недвижимости, указанная в обращении, бюджетным учреждением не определялась, в связи с чем разъяснения предоставляются в отношении последней определенной бюджетным учреждением кадастровой стоимости объекта недвижимости.</w:t>
            </w:r>
          </w:p>
        </w:tc>
        <w:tc>
          <w:tcPr>
            <w:tcW w:w="55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4. Сведения о кадастровой стоимости объекта недвижимости, в отношении которой предоставляются разъяснения: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"/>
        <w:gridCol w:w="3394"/>
        <w:gridCol w:w="4422"/>
        <w:gridCol w:w="624"/>
      </w:tblGrid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2"/>
            <w:tcW w:w="5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Значение, описание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3394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Кадастровая стоимость объекта недвижимости, в отношении которой предоставляются разъяснения</w:t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3394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tcW w:w="33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Основание определения кадастровой стоимости </w:t>
            </w:r>
            <w:hyperlink w:history="0" w:anchor="P208" w:tooltip="&lt;3&gt; Напротив одного из соответствующих вариантов в специально отведенной графе проставляется знак &quot;V&quot;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4422" w:type="dxa"/>
            <w:vAlign w:val="center"/>
            <w:tcBorders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а) проведение государственной кадастровой оценки,</w:t>
            </w:r>
          </w:p>
        </w:tc>
        <w:tc>
          <w:tcPr>
            <w:tcW w:w="624" w:type="dxa"/>
            <w:tcBorders>
              <w:left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422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б)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(далее - ЕГРН) сведений о них и объектов недвижимости, в сведения ЕГРН о которых внесены изменения, которые влекут за собой изменение их кадастровой стоимости, в соответствии с </w:t>
            </w:r>
            <w:hyperlink w:history="0" r:id="rId20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      <w:r>
                <w:rPr>
                  <w:sz w:val="20"/>
                  <w:color w:val="0000ff"/>
                </w:rPr>
                <w:t xml:space="preserve">частью 1 статьи 16</w:t>
              </w:r>
            </w:hyperlink>
            <w:r>
              <w:rPr>
                <w:sz w:val="20"/>
              </w:rPr>
      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2017, N 31, ст. 4823; 2020, N 31, ст. 5028; далее - Закон о государственной кадастровой оценке),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  <w:vAlign w:val="center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в) определение кадастровой стоимости вновь учтенных, ранее учтенных в ЕГРН объектов недвижимости, в сведения ЕГРН о которых внесены изменения в период с 1 января года проведения государственной кадастровой оценки до даты начала применения кадастровой стоимости, полученной по результатам проведения государственной кадастровой оценки, в соответствии с </w:t>
            </w:r>
            <w:hyperlink w:history="0" r:id="rId21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      <w:r>
                <w:rPr>
                  <w:sz w:val="20"/>
                  <w:color w:val="0000ff"/>
                </w:rPr>
                <w:t xml:space="preserve">частью 5 статьи 16</w:t>
              </w:r>
            </w:hyperlink>
            <w:r>
              <w:rPr>
                <w:sz w:val="20"/>
              </w:rPr>
              <w:t xml:space="preserve"> Закона о государственной кадастровой оценке,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insideH w:val="nil"/>
          </w:tblBorders>
        </w:tblPrEx>
        <w:tc>
          <w:tcPr>
            <w:tcW w:w="5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  <w:tcBorders>
              <w:top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г) исправление ошибок, допущенных при определении кадастровой стоимости, в соответствии со </w:t>
            </w:r>
            <w:hyperlink w:history="0" r:id="rId22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      <w:r>
                <w:rPr>
                  <w:sz w:val="20"/>
                  <w:color w:val="0000ff"/>
                </w:rPr>
                <w:t xml:space="preserve">статьей 21</w:t>
              </w:r>
            </w:hyperlink>
            <w:r>
              <w:rPr>
                <w:sz w:val="20"/>
              </w:rPr>
              <w:t xml:space="preserve"> Закона о государственной кадастровой оценке</w:t>
            </w:r>
          </w:p>
        </w:tc>
        <w:tc>
          <w:tcPr>
            <w:tcW w:w="624" w:type="dxa"/>
            <w:tcBorders>
              <w:top w:val="nil"/>
              <w:left w:val="nil"/>
            </w:tcBorders>
          </w:tcPr>
          <w:p>
            <w:pPr>
              <w:pStyle w:val="0"/>
              <w:jc w:val="center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</w:t>
            </w:r>
          </w:p>
        </w:tc>
        <w:tc>
          <w:tcPr>
            <w:tcW w:w="33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Реквизиты акта об утверждении результатов определения кадастровой стоимости, наименование органа, его принявшего (если кадастровая стоимость утверждена в соответствии со </w:t>
            </w:r>
            <w:hyperlink w:history="0" r:id="rId23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      <w:r>
                <w:rPr>
                  <w:sz w:val="20"/>
                  <w:color w:val="0000ff"/>
                </w:rPr>
                <w:t xml:space="preserve">статьей 15</w:t>
              </w:r>
            </w:hyperlink>
            <w:r>
              <w:rPr>
                <w:sz w:val="20"/>
              </w:rPr>
              <w:t xml:space="preserve"> Закона о государственной кадастровой оценке), реквизиты акта об определении кадастровой стоимости, наименование бюджетного учреждения (если кадастровая стоимость определена в соответствии со </w:t>
            </w:r>
            <w:hyperlink w:history="0" r:id="rId24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      <w:r>
                <w:rPr>
                  <w:sz w:val="20"/>
                  <w:color w:val="0000ff"/>
                </w:rPr>
                <w:t xml:space="preserve">статьей 16</w:t>
              </w:r>
            </w:hyperlink>
            <w:r>
              <w:rPr>
                <w:sz w:val="20"/>
              </w:rPr>
              <w:t xml:space="preserve"> Закона о государственной кадастровой оценке)</w:t>
            </w:r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</w:t>
            </w:r>
          </w:p>
        </w:tc>
        <w:tc>
          <w:tcPr>
            <w:tcW w:w="3394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Полные электронные адреса размещения отчета об итогах государственной кадастровой оценки в фонде данных государственной кадастровой оценки и на официальном сайте бюджетного учреждения в информационно-телекоммуникационной сети "Интернет" </w:t>
            </w:r>
            <w:hyperlink w:history="0" w:anchor="P209" w:tooltip="&lt;4&gt; Полный электронный адрес размещения отчета об итогах государственной кадастровой оценки на официальном сайте бюджетного учреждения в информационно-телекоммуникационной сети &quot;Интернет&quot; указывается в случае его размещения на таком сайте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</w:t>
            </w:r>
          </w:p>
        </w:tc>
        <w:tc>
          <w:tcPr>
            <w:tcW w:w="33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Реквизиты решения, принятого в соответствии с </w:t>
            </w:r>
            <w:hyperlink w:history="0" r:id="rId25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      <w:r>
                <w:rPr>
                  <w:sz w:val="20"/>
                  <w:color w:val="0000ff"/>
                </w:rPr>
                <w:t xml:space="preserve">частью 14</w:t>
              </w:r>
            </w:hyperlink>
            <w:r>
              <w:rPr>
                <w:sz w:val="20"/>
              </w:rPr>
              <w:t xml:space="preserve"> или </w:t>
            </w:r>
            <w:hyperlink w:history="0" r:id="rId26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      <w:r>
                <w:rPr>
                  <w:sz w:val="20"/>
                  <w:color w:val="0000ff"/>
                </w:rPr>
                <w:t xml:space="preserve">частью 25 статьи 21</w:t>
              </w:r>
            </w:hyperlink>
            <w:r>
              <w:rPr>
                <w:sz w:val="20"/>
              </w:rPr>
              <w:t xml:space="preserve"> Закона о государственной кадастровой оценке </w:t>
            </w:r>
            <w:hyperlink w:history="0" w:anchor="P210" w:tooltip="&lt;5&gt; Ставится прочерк, если основанием определения кадастровой стоимости не является исправление ошибок, допущенных при определении кадастровой стоимости, в соответствии со статьей 21 Закона о государственной кадастровой оценке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gridSpan w:val="2"/>
            <w:tcW w:w="50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5. Сведения об использованной информации и определении кадастровой стоимости объекта недвижимости: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ind w:firstLine="540"/>
        <w:jc w:val="both"/>
      </w:pPr>
      <w:r>
        <w:rPr>
          <w:sz w:val="20"/>
        </w:rPr>
        <w:t xml:space="preserve">5.1. Сведения о ценообразующих факторах, характеризующих внешнюю среду объектов недвижимости, использованных при определении кадастровой стоимости объекта недвижимости: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2544"/>
        <w:gridCol w:w="2669"/>
        <w:gridCol w:w="3112"/>
      </w:tblGrid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ценообразующего фактора</w:t>
            </w:r>
          </w:p>
        </w:tc>
        <w:tc>
          <w:tcPr>
            <w:tcW w:w="2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Размерность (для количественных факторов) </w:t>
            </w:r>
            <w:hyperlink w:history="0" w:anchor="P211" w:tooltip="&lt;6&gt; Ставится прочерк, если ценообразующий фактор не является количественным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31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Значение, описание ценообразующего фактора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ind w:firstLine="540"/>
        <w:jc w:val="both"/>
      </w:pPr>
      <w:r>
        <w:rPr>
          <w:sz w:val="20"/>
        </w:rPr>
        <w:t xml:space="preserve">5.2. Сведения о ценообразующих факторах, характеризующих непосредственное окружение и сегмент рынка объектов недвижимости, использованных при определении кадастровой стоимости объекта недвижимости: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2544"/>
        <w:gridCol w:w="2669"/>
        <w:gridCol w:w="3112"/>
      </w:tblGrid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ценообразующего фактора</w:t>
            </w:r>
          </w:p>
        </w:tc>
        <w:tc>
          <w:tcPr>
            <w:tcW w:w="2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Размерность (для количественных факторов) </w:t>
            </w:r>
            <w:hyperlink w:history="0" w:anchor="P211" w:tooltip="&lt;6&gt; Ставится прочерк, если ценообразующий фактор не является количественным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31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Значение, описание ценообразующего фактора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ind w:firstLine="540"/>
        <w:jc w:val="both"/>
      </w:pPr>
      <w:r>
        <w:rPr>
          <w:sz w:val="20"/>
        </w:rPr>
        <w:t xml:space="preserve">5.3. Сведения о ценообразующих факторах, характеризующих объект недвижимости, использованных при определении кадастровой стоимости объекта недвижимости: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2544"/>
        <w:gridCol w:w="2669"/>
        <w:gridCol w:w="3112"/>
      </w:tblGrid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ценообразующего фактора</w:t>
            </w:r>
          </w:p>
        </w:tc>
        <w:tc>
          <w:tcPr>
            <w:tcW w:w="2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Размерность (для количественных факторов) </w:t>
            </w:r>
            <w:hyperlink w:history="0" w:anchor="P211" w:tooltip="&lt;6&gt; Ставится прочерк, если ценообразующий фактор не является количественным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31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Значение, описание ценообразующего фактора</w:t>
            </w:r>
          </w:p>
        </w:tc>
      </w:tr>
      <w:tr>
        <w:tc>
          <w:tcPr>
            <w:tcW w:w="7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ind w:firstLine="540"/>
        <w:jc w:val="both"/>
      </w:pPr>
      <w:r>
        <w:rPr>
          <w:sz w:val="20"/>
        </w:rPr>
        <w:t xml:space="preserve">5.4. Сведения об определении кадастровой стоимости объекта недвижимости </w:t>
      </w:r>
      <w:hyperlink w:history="0" w:anchor="P212" w:tooltip="&lt;7&gt; Описание последовательности определения кадастровой стоимости объекта недвижимости, решений и выводов, использованной информации, повлиявших на результаты определения кадастровой стоимости объекта недвижимости, в том числе о модели определения кадастровой стоимости; о сегменте рынка объектов недвижимости, типовой зоне, оценочной зоне, группе, подгруппе, к которым отнесен объект недвижимости, с их описанием; об использованных подходах и методах оценки объекта недвижимости с обоснованием их выбора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8"/>
      </w:tblGrid>
      <w:tr>
        <w:tc>
          <w:tcPr>
            <w:tcW w:w="9068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68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68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340"/>
        <w:gridCol w:w="1361"/>
        <w:gridCol w:w="340"/>
        <w:gridCol w:w="3422"/>
      </w:tblGrid>
      <w:tr>
        <w:tc>
          <w:tcPr>
            <w:tcW w:w="357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2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7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должности лица, подписавшего настоящие разъяснения)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2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лица, подписавшего настоящие разъяснения)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06" w:name="P206"/>
    <w:bookmarkEnd w:id="2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Номер разъяснений, связанных с определением кадастровой стоимости, в формате РЗ-СС/ГГГГ/НННННН, где СС - две цифры, соответствующие номеру субъекта Российской Федерации, ГГГГ - четыре цифры, соответствующие году подачи заявления, НННННН - шесть цифр, соответствующих порядковому номеру соответствующих разъяснений в текущем календарном году.</w:t>
      </w:r>
    </w:p>
    <w:bookmarkStart w:id="207" w:name="P207"/>
    <w:bookmarkEnd w:id="2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кадастровая стоимость объекта недвижимости, в отношении которой в бюджетное учреждение подано обращение о предоставлении разъяснений, связанных с определением кадастровой стоимости. Если в обращении кадастровая стоимость не указана, ставится прочерк.</w:t>
      </w:r>
    </w:p>
    <w:bookmarkStart w:id="208" w:name="P208"/>
    <w:bookmarkEnd w:id="2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Напротив одного из соответствующих вариантов в специально отведенной графе проставляется знак "V".</w:t>
      </w:r>
    </w:p>
    <w:bookmarkStart w:id="209" w:name="P209"/>
    <w:bookmarkEnd w:id="2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Полный электронный адрес размещения отчета об итогах государственной кадастровой оценки на официальном сайте бюджетного учреждения в информационно-телекоммуникационной сети "Интернет" указывается в случае его размещения на таком сайте.</w:t>
      </w:r>
    </w:p>
    <w:bookmarkStart w:id="210" w:name="P210"/>
    <w:bookmarkEnd w:id="2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Ставится прочерк, если основанием определения кадастровой стоимости не является исправление ошибок, допущенных при определении кадастровой стоимости, в соответствии со </w:t>
      </w:r>
      <w:hyperlink w:history="0" r:id="rId27" w:tooltip="Федеральный закон от 03.07.2016 N 237-ФЗ (ред. от 19.12.2022) &quot;О государственной кадастровой оценке&quot; (с изм. и доп., вступ. в силу с 11.01.2023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Закона о государственной кадастровой оценке.</w:t>
      </w:r>
    </w:p>
    <w:bookmarkStart w:id="211" w:name="P211"/>
    <w:bookmarkEnd w:id="2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Ставится прочерк, если ценообразующий фактор не является количественным.</w:t>
      </w:r>
    </w:p>
    <w:bookmarkStart w:id="212" w:name="P212"/>
    <w:bookmarkEnd w:id="2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Описание последовательности определения кадастровой стоимости объекта недвижимости, решений и выводов, использованной информации, повлиявших на результаты определения кадастровой стоимости объекта недвижимости, в том числе о модели определения кадастровой стоимости; о сегменте рынка объектов недвижимости, типовой зоне, оценочной зоне, группе, подгруппе, к которым отнесен объект недвижимости, с их описанием; об использованных подходах и методах оценки объекта недвижимости с обоснованием их выбора.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П/0280</w:t>
            <w:br/>
            <w:t>"Об утверждении Порядка рассмотрения обращений о предоставлении разъяснений, св...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22197&amp;dst=100186" TargetMode = "External"/>
	<Relationship Id="rId8" Type="http://schemas.openxmlformats.org/officeDocument/2006/relationships/hyperlink" Target="https://login.consultant.ru/link/?req=doc&amp;base=RZB&amp;n=437191&amp;dst=57" TargetMode = "External"/>
	<Relationship Id="rId9" Type="http://schemas.openxmlformats.org/officeDocument/2006/relationships/hyperlink" Target="https://login.consultant.ru/link/?req=doc&amp;base=RZB&amp;n=437191&amp;dst=66" TargetMode = "External"/>
	<Relationship Id="rId10" Type="http://schemas.openxmlformats.org/officeDocument/2006/relationships/hyperlink" Target="https://login.consultant.ru/link/?req=doc&amp;base=RZB&amp;n=364045&amp;dst=100009" TargetMode = "External"/>
	<Relationship Id="rId11" Type="http://schemas.openxmlformats.org/officeDocument/2006/relationships/hyperlink" Target="https://login.consultant.ru/link/?req=doc&amp;base=RZB&amp;n=278511" TargetMode = "External"/>
	<Relationship Id="rId12" Type="http://schemas.openxmlformats.org/officeDocument/2006/relationships/hyperlink" Target="https://login.consultant.ru/link/?req=doc&amp;base=RZB&amp;n=422197&amp;dst=100146" TargetMode = "External"/>
	<Relationship Id="rId13" Type="http://schemas.openxmlformats.org/officeDocument/2006/relationships/hyperlink" Target="https://login.consultant.ru/link/?req=doc&amp;base=RZB&amp;n=422197&amp;dst=64" TargetMode = "External"/>
	<Relationship Id="rId14" Type="http://schemas.openxmlformats.org/officeDocument/2006/relationships/hyperlink" Target="https://login.consultant.ru/link/?req=doc&amp;base=RZB&amp;n=422197&amp;dst=100188" TargetMode = "External"/>
	<Relationship Id="rId15" Type="http://schemas.openxmlformats.org/officeDocument/2006/relationships/hyperlink" Target="https://login.consultant.ru/link/?req=doc&amp;base=RZB&amp;n=422197&amp;dst=100188" TargetMode = "External"/>
	<Relationship Id="rId16" Type="http://schemas.openxmlformats.org/officeDocument/2006/relationships/hyperlink" Target="https://login.consultant.ru/link/?req=doc&amp;base=RZB&amp;n=422197&amp;dst=100189" TargetMode = "External"/>
	<Relationship Id="rId17" Type="http://schemas.openxmlformats.org/officeDocument/2006/relationships/hyperlink" Target="https://login.consultant.ru/link/?req=doc&amp;base=RZB&amp;n=422197&amp;dst=100193" TargetMode = "External"/>
	<Relationship Id="rId18" Type="http://schemas.openxmlformats.org/officeDocument/2006/relationships/hyperlink" Target="https://login.consultant.ru/link/?req=doc&amp;base=RZB&amp;n=422197&amp;dst=100196" TargetMode = "External"/>
	<Relationship Id="rId19" Type="http://schemas.openxmlformats.org/officeDocument/2006/relationships/image" Target="media/image2.wmf"/>
	<Relationship Id="rId20" Type="http://schemas.openxmlformats.org/officeDocument/2006/relationships/hyperlink" Target="https://login.consultant.ru/link/?req=doc&amp;base=RZB&amp;n=422197&amp;dst=65" TargetMode = "External"/>
	<Relationship Id="rId21" Type="http://schemas.openxmlformats.org/officeDocument/2006/relationships/hyperlink" Target="https://login.consultant.ru/link/?req=doc&amp;base=RZB&amp;n=422197&amp;dst=69" TargetMode = "External"/>
	<Relationship Id="rId22" Type="http://schemas.openxmlformats.org/officeDocument/2006/relationships/hyperlink" Target="https://login.consultant.ru/link/?req=doc&amp;base=RZB&amp;n=422197&amp;dst=100196" TargetMode = "External"/>
	<Relationship Id="rId23" Type="http://schemas.openxmlformats.org/officeDocument/2006/relationships/hyperlink" Target="https://login.consultant.ru/link/?req=doc&amp;base=RZB&amp;n=422197&amp;dst=100146" TargetMode = "External"/>
	<Relationship Id="rId24" Type="http://schemas.openxmlformats.org/officeDocument/2006/relationships/hyperlink" Target="https://login.consultant.ru/link/?req=doc&amp;base=RZB&amp;n=422197&amp;dst=64" TargetMode = "External"/>
	<Relationship Id="rId25" Type="http://schemas.openxmlformats.org/officeDocument/2006/relationships/hyperlink" Target="https://login.consultant.ru/link/?req=doc&amp;base=RZB&amp;n=422197&amp;dst=100220" TargetMode = "External"/>
	<Relationship Id="rId26" Type="http://schemas.openxmlformats.org/officeDocument/2006/relationships/hyperlink" Target="https://login.consultant.ru/link/?req=doc&amp;base=RZB&amp;n=422197&amp;dst=210" TargetMode = "External"/>
	<Relationship Id="rId27" Type="http://schemas.openxmlformats.org/officeDocument/2006/relationships/hyperlink" Target="https://login.consultant.ru/link/?req=doc&amp;base=RZB&amp;n=422197&amp;dst=10019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4023.00.52</Application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06.08.2020 N П/0280
"Об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разъяснений"
(Зарегистрировано в Минюсте России 28.09.2020 N 60050)</dc:title>
  <dcterms:created xsi:type="dcterms:W3CDTF">2024-01-17T01:41:12Z</dcterms:created>
</cp:coreProperties>
</file>